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2498C">
        <w:rPr>
          <w:rFonts w:ascii="Verdana" w:hAnsi="Verdana"/>
          <w:b/>
          <w:sz w:val="18"/>
          <w:szCs w:val="18"/>
          <w:lang w:val="en-US"/>
        </w:rPr>
        <w:t>Demolice objektů v obvodu OŘ Ostrava – Ostrava Kunčice-trafo, Ropice-sklad a releovna, Opava západ-str.domek, Frenštát-techn.domek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336" w:rsidRDefault="00852336">
      <w:r>
        <w:separator/>
      </w:r>
    </w:p>
  </w:endnote>
  <w:endnote w:type="continuationSeparator" w:id="0">
    <w:p w:rsidR="00852336" w:rsidRDefault="00852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2498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2498C" w:rsidRPr="00D2498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336" w:rsidRDefault="00852336">
      <w:r>
        <w:separator/>
      </w:r>
    </w:p>
  </w:footnote>
  <w:footnote w:type="continuationSeparator" w:id="0">
    <w:p w:rsidR="00852336" w:rsidRDefault="00852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2336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498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6542E71"/>
  <w15:docId w15:val="{8B0D4687-D6CE-4EAC-86E1-35832D71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B5575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84D4B6-C501-4EBC-8BC9-5F3CCBD04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124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2020-10-22T13:09:00Z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